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8B" w:rsidRPr="0057336F" w:rsidRDefault="006C148B" w:rsidP="006C148B">
      <w:pPr>
        <w:pStyle w:val="a3"/>
        <w:spacing w:before="5"/>
        <w:ind w:left="0" w:firstLine="0"/>
        <w:jc w:val="center"/>
        <w:rPr>
          <w:rFonts w:ascii="標楷體" w:eastAsia="標楷體" w:hAnsi="標楷體"/>
          <w:lang w:eastAsia="zh-TW"/>
        </w:rPr>
      </w:pPr>
      <w:r w:rsidRPr="0057336F">
        <w:rPr>
          <w:rFonts w:ascii="標楷體" w:eastAsia="標楷體" w:hAnsi="標楷體"/>
          <w:lang w:eastAsia="zh-TW"/>
        </w:rPr>
        <w:t>國立政治大學華人文化主體性研究中心獎助博士生國際交流之補助辦法</w:t>
      </w:r>
    </w:p>
    <w:p w:rsidR="006C148B" w:rsidRPr="0057336F" w:rsidRDefault="006C148B" w:rsidP="006C148B">
      <w:pPr>
        <w:pStyle w:val="a3"/>
        <w:spacing w:before="5"/>
        <w:ind w:left="0" w:firstLine="0"/>
        <w:rPr>
          <w:rFonts w:ascii="標楷體" w:eastAsia="標楷體" w:hAnsi="標楷體"/>
          <w:lang w:eastAsia="zh-TW"/>
        </w:rPr>
      </w:pPr>
    </w:p>
    <w:p w:rsidR="006C148B" w:rsidRPr="0057336F" w:rsidRDefault="006C148B" w:rsidP="006C148B">
      <w:pPr>
        <w:spacing w:before="1"/>
        <w:ind w:left="5176"/>
        <w:rPr>
          <w:rFonts w:ascii="標楷體" w:eastAsia="標楷體" w:hAnsi="標楷體"/>
          <w:sz w:val="24"/>
          <w:szCs w:val="24"/>
          <w:lang w:eastAsia="zh-TW"/>
        </w:rPr>
      </w:pPr>
      <w:r w:rsidRPr="0057336F">
        <w:rPr>
          <w:rFonts w:ascii="標楷體" w:eastAsia="標楷體" w:hAnsi="標楷體"/>
          <w:spacing w:val="-11"/>
          <w:w w:val="105"/>
          <w:sz w:val="24"/>
          <w:szCs w:val="24"/>
          <w:lang w:eastAsia="zh-TW"/>
        </w:rPr>
        <w:t xml:space="preserve">民國 </w:t>
      </w:r>
      <w:r w:rsidRPr="0057336F">
        <w:rPr>
          <w:rFonts w:ascii="標楷體" w:eastAsia="標楷體" w:hAnsi="標楷體"/>
          <w:w w:val="105"/>
          <w:sz w:val="24"/>
          <w:szCs w:val="24"/>
          <w:lang w:eastAsia="zh-TW"/>
        </w:rPr>
        <w:t>107</w:t>
      </w:r>
      <w:r w:rsidRPr="0057336F">
        <w:rPr>
          <w:rFonts w:ascii="標楷體" w:eastAsia="標楷體" w:hAnsi="標楷體"/>
          <w:spacing w:val="-22"/>
          <w:w w:val="105"/>
          <w:sz w:val="24"/>
          <w:szCs w:val="24"/>
          <w:lang w:eastAsia="zh-TW"/>
        </w:rPr>
        <w:t xml:space="preserve"> 年 </w:t>
      </w:r>
      <w:r w:rsidRPr="0057336F">
        <w:rPr>
          <w:rFonts w:ascii="標楷體" w:eastAsia="標楷體" w:hAnsi="標楷體"/>
          <w:w w:val="105"/>
          <w:sz w:val="24"/>
          <w:szCs w:val="24"/>
          <w:lang w:eastAsia="zh-TW"/>
        </w:rPr>
        <w:t>6</w:t>
      </w:r>
      <w:r w:rsidRPr="0057336F">
        <w:rPr>
          <w:rFonts w:ascii="標楷體" w:eastAsia="標楷體" w:hAnsi="標楷體"/>
          <w:spacing w:val="-22"/>
          <w:w w:val="105"/>
          <w:sz w:val="24"/>
          <w:szCs w:val="24"/>
          <w:lang w:eastAsia="zh-TW"/>
        </w:rPr>
        <w:t xml:space="preserve"> 月 </w:t>
      </w:r>
      <w:r w:rsidRPr="0057336F">
        <w:rPr>
          <w:rFonts w:ascii="標楷體" w:eastAsia="標楷體" w:hAnsi="標楷體"/>
          <w:w w:val="105"/>
          <w:sz w:val="24"/>
          <w:szCs w:val="24"/>
          <w:lang w:eastAsia="zh-TW"/>
        </w:rPr>
        <w:t>6</w:t>
      </w:r>
      <w:r w:rsidRPr="0057336F">
        <w:rPr>
          <w:rFonts w:ascii="標楷體" w:eastAsia="標楷體" w:hAnsi="標楷體"/>
          <w:spacing w:val="-6"/>
          <w:w w:val="105"/>
          <w:sz w:val="24"/>
          <w:szCs w:val="24"/>
          <w:lang w:eastAsia="zh-TW"/>
        </w:rPr>
        <w:t xml:space="preserve"> 日執行委員會決議通過</w:t>
      </w:r>
    </w:p>
    <w:p w:rsidR="006C148B" w:rsidRPr="0057336F" w:rsidRDefault="006C148B" w:rsidP="006C148B">
      <w:pPr>
        <w:tabs>
          <w:tab w:val="left" w:pos="851"/>
        </w:tabs>
        <w:rPr>
          <w:rFonts w:ascii="標楷體" w:eastAsia="標楷體" w:hAnsi="標楷體"/>
          <w:sz w:val="24"/>
          <w:szCs w:val="24"/>
          <w:lang w:eastAsia="zh-TW"/>
        </w:rPr>
      </w:pPr>
    </w:p>
    <w:p w:rsidR="006C148B" w:rsidRPr="0057336F" w:rsidRDefault="006C148B" w:rsidP="006C148B">
      <w:pPr>
        <w:pStyle w:val="a5"/>
        <w:numPr>
          <w:ilvl w:val="0"/>
          <w:numId w:val="1"/>
        </w:numPr>
        <w:tabs>
          <w:tab w:val="left" w:pos="851"/>
        </w:tabs>
        <w:rPr>
          <w:rFonts w:ascii="標楷體" w:eastAsia="標楷體" w:hAnsi="標楷體"/>
          <w:sz w:val="24"/>
          <w:szCs w:val="24"/>
          <w:lang w:eastAsia="zh-TW"/>
        </w:rPr>
      </w:pPr>
      <w:r w:rsidRPr="0057336F">
        <w:rPr>
          <w:rFonts w:ascii="標楷體" w:eastAsia="標楷體" w:hAnsi="標楷體"/>
          <w:lang w:eastAsia="zh-TW"/>
        </w:rPr>
        <w:t>國立政治大學華人文化主體性研究中心（以下簡稱「本中心」）為促進國際學術交流，鼓勵博士研究生出國研究、參與國際會議，特訂定本補助</w:t>
      </w:r>
      <w:r w:rsidRPr="0057336F">
        <w:rPr>
          <w:rFonts w:ascii="標楷體" w:eastAsia="標楷體" w:hAnsi="標楷體" w:hint="eastAsia"/>
          <w:lang w:eastAsia="zh-TW"/>
        </w:rPr>
        <w:t>辦法（以下簡稱「本辦法」）</w:t>
      </w:r>
      <w:r w:rsidRPr="0057336F">
        <w:rPr>
          <w:rFonts w:ascii="標楷體" w:eastAsia="標楷體" w:hAnsi="標楷體"/>
          <w:lang w:eastAsia="zh-TW"/>
        </w:rPr>
        <w:t>。</w:t>
      </w:r>
    </w:p>
    <w:p w:rsidR="006C148B" w:rsidRPr="0057336F" w:rsidRDefault="006C148B" w:rsidP="006C148B">
      <w:pPr>
        <w:pStyle w:val="a5"/>
        <w:numPr>
          <w:ilvl w:val="0"/>
          <w:numId w:val="1"/>
        </w:numPr>
        <w:tabs>
          <w:tab w:val="left" w:pos="851"/>
        </w:tabs>
        <w:rPr>
          <w:rFonts w:ascii="標楷體" w:eastAsia="標楷體" w:hAnsi="標楷體"/>
          <w:sz w:val="24"/>
          <w:szCs w:val="24"/>
          <w:lang w:eastAsia="zh-TW"/>
        </w:rPr>
      </w:pPr>
      <w:r w:rsidRPr="0057336F">
        <w:rPr>
          <w:rFonts w:ascii="標楷體" w:eastAsia="標楷體" w:hAnsi="標楷體"/>
          <w:lang w:eastAsia="zh-TW"/>
        </w:rPr>
        <w:t>本辦法優先補助赴國外移地研究三個月以上者</w:t>
      </w:r>
      <w:r w:rsidRPr="0057336F">
        <w:rPr>
          <w:rFonts w:ascii="標楷體" w:eastAsia="標楷體" w:hAnsi="標楷體" w:hint="eastAsia"/>
          <w:lang w:eastAsia="zh-TW"/>
        </w:rPr>
        <w:t>，長於</w:t>
      </w:r>
      <w:r w:rsidR="00A41A50" w:rsidRPr="0057336F">
        <w:rPr>
          <w:rFonts w:ascii="標楷體" w:eastAsia="標楷體" w:hAnsi="標楷體" w:hint="eastAsia"/>
          <w:lang w:eastAsia="zh-TW"/>
        </w:rPr>
        <w:t>或少於</w:t>
      </w:r>
      <w:r w:rsidRPr="0057336F">
        <w:rPr>
          <w:rFonts w:ascii="標楷體" w:eastAsia="標楷體" w:hAnsi="標楷體" w:hint="eastAsia"/>
          <w:lang w:eastAsia="zh-TW"/>
        </w:rPr>
        <w:t>三個月者以本中心審查為度。</w:t>
      </w:r>
      <w:r w:rsidRPr="0057336F">
        <w:rPr>
          <w:rFonts w:ascii="標楷體" w:eastAsia="標楷體" w:hAnsi="標楷體"/>
          <w:lang w:eastAsia="zh-TW"/>
        </w:rPr>
        <w:t>申請對象為本校博士班在學學生。每年度以補助五名為原則</w:t>
      </w:r>
      <w:r w:rsidRPr="0057336F">
        <w:rPr>
          <w:rFonts w:ascii="標楷體" w:eastAsia="標楷體" w:hAnsi="標楷體" w:hint="eastAsia"/>
          <w:lang w:eastAsia="zh-TW"/>
        </w:rPr>
        <w:t>。</w:t>
      </w:r>
      <w:r w:rsidRPr="0057336F">
        <w:rPr>
          <w:rFonts w:ascii="標楷體" w:eastAsia="標楷體" w:hAnsi="標楷體"/>
          <w:lang w:eastAsia="zh-TW"/>
        </w:rPr>
        <w:t xml:space="preserve"> 每名最高補助額度為二十萬臺幣</w:t>
      </w:r>
      <w:r w:rsidRPr="0057336F">
        <w:rPr>
          <w:rFonts w:ascii="標楷體" w:eastAsia="標楷體" w:hAnsi="標楷體" w:hint="eastAsia"/>
          <w:lang w:eastAsia="zh-TW"/>
        </w:rPr>
        <w:t>。國際交流地區不包含港澳以外之中國地區。</w:t>
      </w:r>
    </w:p>
    <w:p w:rsidR="006C148B" w:rsidRPr="0057336F" w:rsidRDefault="006C148B" w:rsidP="006C148B">
      <w:pPr>
        <w:pStyle w:val="a5"/>
        <w:numPr>
          <w:ilvl w:val="0"/>
          <w:numId w:val="1"/>
        </w:numPr>
        <w:tabs>
          <w:tab w:val="left" w:pos="851"/>
        </w:tabs>
        <w:rPr>
          <w:rFonts w:ascii="標楷體" w:eastAsia="標楷體" w:hAnsi="標楷體"/>
          <w:sz w:val="24"/>
          <w:szCs w:val="24"/>
          <w:lang w:eastAsia="zh-TW"/>
        </w:rPr>
      </w:pPr>
      <w:r w:rsidRPr="0057336F">
        <w:rPr>
          <w:rFonts w:ascii="標楷體" w:eastAsia="標楷體" w:hAnsi="標楷體"/>
          <w:sz w:val="24"/>
          <w:szCs w:val="24"/>
          <w:lang w:eastAsia="zh-TW"/>
        </w:rPr>
        <w:t>申請人應備妥以下資料，提出申請：</w:t>
      </w:r>
    </w:p>
    <w:p w:rsidR="006C148B" w:rsidRPr="0057336F" w:rsidRDefault="006C148B" w:rsidP="006C148B">
      <w:pPr>
        <w:pStyle w:val="a5"/>
        <w:numPr>
          <w:ilvl w:val="1"/>
          <w:numId w:val="1"/>
        </w:numPr>
        <w:tabs>
          <w:tab w:val="left" w:pos="851"/>
        </w:tabs>
        <w:rPr>
          <w:rFonts w:ascii="標楷體" w:eastAsia="標楷體" w:hAnsi="標楷體"/>
          <w:sz w:val="24"/>
          <w:szCs w:val="24"/>
          <w:lang w:eastAsia="zh-TW"/>
        </w:rPr>
      </w:pPr>
      <w:r w:rsidRPr="0057336F">
        <w:rPr>
          <w:rFonts w:ascii="標楷體" w:eastAsia="標楷體" w:hAnsi="標楷體"/>
          <w:sz w:val="24"/>
          <w:szCs w:val="24"/>
          <w:lang w:eastAsia="zh-TW"/>
        </w:rPr>
        <w:t>國際交流申請書</w:t>
      </w:r>
    </w:p>
    <w:p w:rsidR="006C148B" w:rsidRPr="0057336F" w:rsidRDefault="006C148B" w:rsidP="006C148B">
      <w:pPr>
        <w:pStyle w:val="a5"/>
        <w:numPr>
          <w:ilvl w:val="1"/>
          <w:numId w:val="1"/>
        </w:numPr>
        <w:tabs>
          <w:tab w:val="left" w:pos="851"/>
        </w:tabs>
        <w:rPr>
          <w:rFonts w:ascii="標楷體" w:eastAsia="標楷體" w:hAnsi="標楷體"/>
          <w:sz w:val="24"/>
          <w:szCs w:val="24"/>
          <w:lang w:eastAsia="zh-TW"/>
        </w:rPr>
      </w:pPr>
      <w:r w:rsidRPr="0057336F">
        <w:rPr>
          <w:rFonts w:ascii="標楷體" w:eastAsia="標楷體" w:hAnsi="標楷體"/>
          <w:sz w:val="24"/>
          <w:szCs w:val="24"/>
          <w:lang w:eastAsia="zh-TW"/>
        </w:rPr>
        <w:t>研究計畫或論文提綱</w:t>
      </w:r>
    </w:p>
    <w:p w:rsidR="006C148B" w:rsidRPr="0057336F" w:rsidRDefault="006C148B" w:rsidP="006C148B">
      <w:pPr>
        <w:pStyle w:val="a5"/>
        <w:numPr>
          <w:ilvl w:val="1"/>
          <w:numId w:val="1"/>
        </w:numPr>
        <w:tabs>
          <w:tab w:val="left" w:pos="851"/>
        </w:tabs>
        <w:rPr>
          <w:rFonts w:ascii="標楷體" w:eastAsia="標楷體" w:hAnsi="標楷體"/>
          <w:sz w:val="24"/>
          <w:szCs w:val="24"/>
          <w:lang w:eastAsia="zh-TW"/>
        </w:rPr>
      </w:pPr>
      <w:r w:rsidRPr="0057336F">
        <w:rPr>
          <w:rFonts w:ascii="標楷體" w:eastAsia="標楷體" w:hAnsi="標楷體"/>
          <w:sz w:val="24"/>
          <w:szCs w:val="24"/>
          <w:lang w:eastAsia="zh-TW"/>
        </w:rPr>
        <w:t>指導教授推薦函</w:t>
      </w:r>
    </w:p>
    <w:p w:rsidR="006C148B" w:rsidRPr="0057336F" w:rsidRDefault="006C148B" w:rsidP="00FD14CF">
      <w:pPr>
        <w:pStyle w:val="a5"/>
        <w:numPr>
          <w:ilvl w:val="1"/>
          <w:numId w:val="1"/>
        </w:numPr>
        <w:tabs>
          <w:tab w:val="left" w:pos="851"/>
        </w:tabs>
        <w:rPr>
          <w:rFonts w:ascii="標楷體" w:eastAsia="標楷體" w:hAnsi="標楷體"/>
          <w:sz w:val="24"/>
          <w:szCs w:val="24"/>
          <w:lang w:eastAsia="zh-TW"/>
        </w:rPr>
      </w:pPr>
      <w:r w:rsidRPr="0057336F">
        <w:rPr>
          <w:rFonts w:ascii="標楷體" w:eastAsia="標楷體" w:hAnsi="標楷體"/>
          <w:sz w:val="24"/>
          <w:szCs w:val="24"/>
          <w:lang w:eastAsia="zh-TW"/>
        </w:rPr>
        <w:t>其他有助于審查之文件（例如</w:t>
      </w:r>
      <w:r w:rsidRPr="0057336F">
        <w:rPr>
          <w:rFonts w:ascii="標楷體" w:eastAsia="標楷體" w:hAnsi="標楷體" w:hint="eastAsia"/>
          <w:sz w:val="24"/>
          <w:szCs w:val="24"/>
          <w:lang w:eastAsia="zh-TW"/>
        </w:rPr>
        <w:t>：</w:t>
      </w:r>
      <w:r w:rsidRPr="0057336F">
        <w:rPr>
          <w:rFonts w:ascii="標楷體" w:eastAsia="標楷體" w:hAnsi="標楷體"/>
          <w:sz w:val="24"/>
          <w:szCs w:val="24"/>
          <w:lang w:eastAsia="zh-TW"/>
        </w:rPr>
        <w:t>已發表之論文</w:t>
      </w:r>
      <w:r w:rsidRPr="0057336F">
        <w:rPr>
          <w:rFonts w:ascii="標楷體" w:eastAsia="標楷體" w:hAnsi="標楷體" w:hint="eastAsia"/>
          <w:sz w:val="24"/>
          <w:szCs w:val="24"/>
          <w:lang w:eastAsia="zh-TW"/>
        </w:rPr>
        <w:t>、著作</w:t>
      </w:r>
      <w:r w:rsidR="00FD14CF" w:rsidRPr="0057336F">
        <w:rPr>
          <w:rFonts w:ascii="標楷體" w:eastAsia="標楷體" w:hAnsi="標楷體" w:hint="eastAsia"/>
          <w:sz w:val="24"/>
          <w:szCs w:val="24"/>
          <w:lang w:eastAsia="zh-TW"/>
        </w:rPr>
        <w:t>等</w:t>
      </w:r>
      <w:r w:rsidRPr="0057336F">
        <w:rPr>
          <w:rFonts w:ascii="標楷體" w:eastAsia="標楷體" w:hAnsi="標楷體"/>
          <w:sz w:val="24"/>
          <w:szCs w:val="24"/>
          <w:lang w:eastAsia="zh-TW"/>
        </w:rPr>
        <w:t>）</w:t>
      </w:r>
    </w:p>
    <w:p w:rsidR="006C148B" w:rsidRPr="0057336F" w:rsidRDefault="006C148B" w:rsidP="006C148B">
      <w:pPr>
        <w:pStyle w:val="a5"/>
        <w:numPr>
          <w:ilvl w:val="0"/>
          <w:numId w:val="1"/>
        </w:numPr>
        <w:tabs>
          <w:tab w:val="left" w:pos="851"/>
        </w:tabs>
        <w:rPr>
          <w:rFonts w:ascii="標楷體" w:eastAsia="標楷體" w:hAnsi="標楷體"/>
          <w:sz w:val="24"/>
          <w:szCs w:val="24"/>
          <w:highlight w:val="yellow"/>
          <w:lang w:eastAsia="zh-TW"/>
        </w:rPr>
      </w:pPr>
      <w:r w:rsidRPr="0057336F">
        <w:rPr>
          <w:rFonts w:ascii="標楷體" w:eastAsia="標楷體" w:hAnsi="標楷體"/>
          <w:sz w:val="24"/>
          <w:szCs w:val="24"/>
          <w:lang w:eastAsia="zh-TW"/>
        </w:rPr>
        <w:t>本中心將於每年九月公告、受理申請</w:t>
      </w:r>
      <w:r w:rsidRPr="0057336F">
        <w:rPr>
          <w:rFonts w:ascii="標楷體" w:eastAsia="標楷體" w:hAnsi="標楷體" w:hint="eastAsia"/>
          <w:sz w:val="24"/>
          <w:szCs w:val="24"/>
          <w:lang w:eastAsia="zh-TW"/>
        </w:rPr>
        <w:t>。</w:t>
      </w:r>
      <w:r w:rsidRPr="0057336F">
        <w:rPr>
          <w:rFonts w:ascii="標楷體" w:eastAsia="標楷體" w:hAnsi="標楷體"/>
          <w:sz w:val="24"/>
          <w:szCs w:val="24"/>
          <w:lang w:eastAsia="zh-TW"/>
        </w:rPr>
        <w:t>申請案件收件後，由本中心相關研究領域老師組成審查委員會，一個月內函覆審查結果；必要時，得延長審查作業時間。</w:t>
      </w:r>
      <w:r w:rsidRPr="0057336F">
        <w:rPr>
          <w:rFonts w:ascii="標楷體" w:eastAsia="標楷體" w:hAnsi="標楷體" w:hint="eastAsia"/>
          <w:sz w:val="24"/>
          <w:szCs w:val="24"/>
          <w:highlight w:val="yellow"/>
          <w:lang w:eastAsia="zh-TW"/>
        </w:rPr>
        <w:t>申請人在同一會計年度（每年一月一日至十二月三十一日）以補助一次為原則。</w:t>
      </w:r>
    </w:p>
    <w:p w:rsidR="006C148B" w:rsidRPr="0057336F" w:rsidRDefault="006C148B" w:rsidP="006C148B">
      <w:pPr>
        <w:pStyle w:val="a5"/>
        <w:numPr>
          <w:ilvl w:val="0"/>
          <w:numId w:val="1"/>
        </w:numPr>
        <w:tabs>
          <w:tab w:val="left" w:pos="851"/>
        </w:tabs>
        <w:rPr>
          <w:rFonts w:ascii="標楷體" w:eastAsia="標楷體" w:hAnsi="標楷體"/>
          <w:sz w:val="24"/>
          <w:szCs w:val="24"/>
          <w:lang w:eastAsia="zh-TW"/>
        </w:rPr>
      </w:pPr>
      <w:r w:rsidRPr="0057336F">
        <w:rPr>
          <w:rFonts w:ascii="標楷體" w:eastAsia="標楷體" w:hAnsi="標楷體"/>
          <w:sz w:val="24"/>
          <w:szCs w:val="24"/>
          <w:lang w:eastAsia="zh-TW"/>
        </w:rPr>
        <w:t>申請案經本中心審查核定後依核定金額補助，本辦法所需經費由本中心之教育部高教深耕補助款支應。</w:t>
      </w:r>
      <w:r w:rsidRPr="0057336F">
        <w:rPr>
          <w:rFonts w:ascii="標楷體" w:eastAsia="標楷體" w:hAnsi="標楷體"/>
          <w:sz w:val="24"/>
          <w:szCs w:val="24"/>
          <w:lang w:eastAsia="zh-TW"/>
        </w:rPr>
        <w:br/>
        <w:t>補助項目如下：</w:t>
      </w:r>
    </w:p>
    <w:p w:rsidR="006C148B" w:rsidRPr="0057336F" w:rsidRDefault="006C148B" w:rsidP="006C148B">
      <w:pPr>
        <w:pStyle w:val="a5"/>
        <w:numPr>
          <w:ilvl w:val="1"/>
          <w:numId w:val="1"/>
        </w:numPr>
        <w:tabs>
          <w:tab w:val="left" w:pos="851"/>
        </w:tabs>
        <w:rPr>
          <w:rFonts w:ascii="標楷體" w:eastAsia="標楷體" w:hAnsi="標楷體"/>
          <w:sz w:val="24"/>
          <w:szCs w:val="24"/>
          <w:lang w:eastAsia="zh-TW"/>
        </w:rPr>
      </w:pPr>
      <w:r w:rsidRPr="0057336F">
        <w:rPr>
          <w:rFonts w:ascii="標楷體" w:eastAsia="標楷體" w:hAnsi="標楷體"/>
          <w:sz w:val="24"/>
          <w:szCs w:val="24"/>
          <w:lang w:eastAsia="zh-TW"/>
        </w:rPr>
        <w:t>往返機票費用：由國內至移地研究、交流、會議之地點最直接航程之往返經濟艙飛機票。機票由受補助人於出國前自行墊款購買，以搭乘本國籍之班機為限。但因故無法搭乘本國籍班機者，應填具因公出國人員搭乘外國籍航空公司班機申請書，經本心中主持人或授權代理人核定後改搭乘外國籍班機。</w:t>
      </w:r>
      <w:r w:rsidRPr="0057336F">
        <w:rPr>
          <w:rFonts w:ascii="標楷體" w:eastAsia="標楷體" w:hAnsi="標楷體" w:hint="eastAsia"/>
          <w:sz w:val="24"/>
          <w:szCs w:val="24"/>
          <w:lang w:eastAsia="zh-TW"/>
        </w:rPr>
        <w:t>機票費用之核銷為實報實銷。</w:t>
      </w:r>
    </w:p>
    <w:p w:rsidR="006C148B" w:rsidRPr="0057336F" w:rsidRDefault="006C148B" w:rsidP="006C148B">
      <w:pPr>
        <w:pStyle w:val="a5"/>
        <w:numPr>
          <w:ilvl w:val="1"/>
          <w:numId w:val="1"/>
        </w:numPr>
        <w:tabs>
          <w:tab w:val="left" w:pos="851"/>
        </w:tabs>
        <w:rPr>
          <w:rFonts w:ascii="標楷體" w:eastAsia="標楷體" w:hAnsi="標楷體"/>
          <w:sz w:val="24"/>
          <w:szCs w:val="24"/>
          <w:lang w:eastAsia="zh-TW"/>
        </w:rPr>
      </w:pPr>
      <w:r w:rsidRPr="0057336F">
        <w:rPr>
          <w:rFonts w:ascii="標楷體" w:eastAsia="標楷體" w:hAnsi="標楷體"/>
          <w:sz w:val="24"/>
          <w:szCs w:val="24"/>
          <w:lang w:eastAsia="zh-TW"/>
        </w:rPr>
        <w:t>若為出席國際會議者，得支領出席會議之註冊費。</w:t>
      </w:r>
      <w:r w:rsidRPr="0057336F">
        <w:rPr>
          <w:rFonts w:ascii="標楷體" w:eastAsia="標楷體" w:hAnsi="標楷體" w:hint="eastAsia"/>
          <w:sz w:val="24"/>
          <w:szCs w:val="24"/>
          <w:lang w:eastAsia="zh-TW"/>
        </w:rPr>
        <w:t>會議註冊費用之核銷為實報實銷。</w:t>
      </w:r>
    </w:p>
    <w:p w:rsidR="006C148B" w:rsidRPr="0057336F" w:rsidRDefault="006C148B" w:rsidP="00FD14CF">
      <w:pPr>
        <w:pStyle w:val="a5"/>
        <w:numPr>
          <w:ilvl w:val="1"/>
          <w:numId w:val="1"/>
        </w:numPr>
        <w:tabs>
          <w:tab w:val="left" w:pos="851"/>
        </w:tabs>
        <w:rPr>
          <w:rFonts w:ascii="標楷體" w:eastAsia="標楷體" w:hAnsi="標楷體"/>
          <w:lang w:eastAsia="zh-TW"/>
        </w:rPr>
      </w:pPr>
      <w:r w:rsidRPr="0057336F">
        <w:rPr>
          <w:rFonts w:ascii="標楷體" w:eastAsia="標楷體" w:hAnsi="標楷體"/>
          <w:sz w:val="24"/>
          <w:szCs w:val="24"/>
          <w:lang w:eastAsia="zh-TW"/>
        </w:rPr>
        <w:t>生活費。若申請出席參加國際會議</w:t>
      </w:r>
      <w:r w:rsidRPr="0057336F">
        <w:rPr>
          <w:rFonts w:ascii="標楷體" w:eastAsia="標楷體" w:hAnsi="標楷體" w:hint="eastAsia"/>
          <w:sz w:val="24"/>
          <w:szCs w:val="24"/>
          <w:lang w:eastAsia="zh-TW"/>
        </w:rPr>
        <w:t>或其餘短期交流活動</w:t>
      </w:r>
      <w:r w:rsidRPr="0057336F">
        <w:rPr>
          <w:rFonts w:ascii="標楷體" w:eastAsia="標楷體" w:hAnsi="標楷體"/>
          <w:sz w:val="24"/>
          <w:szCs w:val="24"/>
          <w:lang w:eastAsia="zh-TW"/>
        </w:rPr>
        <w:t>者，以出席會議期間為限。</w:t>
      </w:r>
      <w:r w:rsidR="00FD14CF" w:rsidRPr="0057336F">
        <w:rPr>
          <w:rFonts w:ascii="標楷體" w:eastAsia="標楷體" w:hAnsi="標楷體" w:hint="eastAsia"/>
          <w:sz w:val="24"/>
          <w:szCs w:val="24"/>
          <w:lang w:eastAsia="zh-TW"/>
        </w:rPr>
        <w:t>生活費</w:t>
      </w:r>
      <w:r w:rsidR="00FD14CF" w:rsidRPr="0057336F">
        <w:rPr>
          <w:rFonts w:ascii="標楷體" w:eastAsia="標楷體" w:hAnsi="標楷體" w:hint="eastAsia"/>
          <w:lang w:eastAsia="zh-TW"/>
        </w:rPr>
        <w:t xml:space="preserve">以中央政府各機關派赴國外各地 區出差人員生活費日支數額之 </w:t>
      </w:r>
      <w:r w:rsidR="00FD14CF" w:rsidRPr="0057336F">
        <w:rPr>
          <w:rFonts w:ascii="標楷體" w:eastAsia="標楷體" w:hAnsi="標楷體"/>
          <w:lang w:eastAsia="zh-TW"/>
        </w:rPr>
        <w:t>50%</w:t>
      </w:r>
      <w:r w:rsidR="00FD14CF" w:rsidRPr="0057336F">
        <w:rPr>
          <w:rFonts w:ascii="標楷體" w:eastAsia="標楷體" w:hAnsi="標楷體" w:hint="eastAsia"/>
          <w:lang w:eastAsia="zh-TW"/>
        </w:rPr>
        <w:t xml:space="preserve">為原則。 </w:t>
      </w:r>
    </w:p>
    <w:p w:rsidR="006C148B" w:rsidRPr="0057336F" w:rsidRDefault="006C148B" w:rsidP="006C148B">
      <w:pPr>
        <w:pStyle w:val="a5"/>
        <w:numPr>
          <w:ilvl w:val="0"/>
          <w:numId w:val="1"/>
        </w:numPr>
        <w:tabs>
          <w:tab w:val="left" w:pos="851"/>
        </w:tabs>
        <w:rPr>
          <w:rFonts w:ascii="標楷體" w:eastAsia="標楷體" w:hAnsi="標楷體"/>
          <w:sz w:val="24"/>
          <w:szCs w:val="24"/>
          <w:lang w:eastAsia="zh-TW"/>
        </w:rPr>
      </w:pPr>
      <w:r w:rsidRPr="0057336F">
        <w:rPr>
          <w:rFonts w:ascii="標楷體" w:eastAsia="標楷體" w:hAnsi="標楷體"/>
          <w:sz w:val="24"/>
          <w:szCs w:val="24"/>
          <w:lang w:eastAsia="zh-TW"/>
        </w:rPr>
        <w:t>受補助</w:t>
      </w:r>
      <w:r w:rsidRPr="0057336F">
        <w:rPr>
          <w:rFonts w:ascii="標楷體" w:eastAsia="標楷體" w:hAnsi="標楷體" w:hint="eastAsia"/>
          <w:sz w:val="24"/>
          <w:szCs w:val="24"/>
          <w:lang w:eastAsia="zh-TW"/>
        </w:rPr>
        <w:t>人</w:t>
      </w:r>
      <w:r w:rsidRPr="0057336F">
        <w:rPr>
          <w:rFonts w:ascii="標楷體" w:eastAsia="標楷體" w:hAnsi="標楷體"/>
          <w:sz w:val="24"/>
          <w:szCs w:val="24"/>
          <w:lang w:eastAsia="zh-TW"/>
        </w:rPr>
        <w:t>應於返國十五日內，於本中心繳交出國報告，始得辦理經費</w:t>
      </w:r>
      <w:r w:rsidRPr="0057336F">
        <w:rPr>
          <w:rFonts w:ascii="標楷體" w:eastAsia="標楷體" w:hAnsi="標楷體" w:hint="eastAsia"/>
          <w:sz w:val="24"/>
          <w:szCs w:val="24"/>
          <w:lang w:eastAsia="zh-TW"/>
        </w:rPr>
        <w:t>核銷。</w:t>
      </w:r>
      <w:proofErr w:type="gramStart"/>
      <w:r w:rsidRPr="0057336F">
        <w:rPr>
          <w:rFonts w:ascii="標楷體" w:eastAsia="標楷體" w:hAnsi="標楷體" w:hint="eastAsia"/>
          <w:sz w:val="24"/>
          <w:szCs w:val="24"/>
          <w:lang w:eastAsia="zh-TW"/>
        </w:rPr>
        <w:t>若行</w:t>
      </w:r>
      <w:proofErr w:type="gramEnd"/>
      <w:r w:rsidRPr="0057336F">
        <w:rPr>
          <w:rFonts w:ascii="標楷體" w:eastAsia="標楷體" w:hAnsi="標楷體" w:hint="eastAsia"/>
          <w:sz w:val="24"/>
          <w:szCs w:val="24"/>
          <w:lang w:eastAsia="zh-TW"/>
        </w:rPr>
        <w:t>前有經費需求，可向本中心申請辦理借支。</w:t>
      </w:r>
    </w:p>
    <w:p w:rsidR="006C148B" w:rsidRPr="0057336F" w:rsidRDefault="0057336F" w:rsidP="0057336F">
      <w:pPr>
        <w:pStyle w:val="a5"/>
        <w:numPr>
          <w:ilvl w:val="0"/>
          <w:numId w:val="1"/>
        </w:numPr>
        <w:tabs>
          <w:tab w:val="left" w:pos="851"/>
        </w:tabs>
        <w:rPr>
          <w:rFonts w:ascii="標楷體" w:eastAsia="標楷體" w:hAnsi="標楷體"/>
          <w:sz w:val="24"/>
          <w:szCs w:val="24"/>
          <w:highlight w:val="yellow"/>
          <w:lang w:eastAsia="zh-TW"/>
        </w:rPr>
      </w:pPr>
      <w:r w:rsidRPr="0057336F">
        <w:rPr>
          <w:rFonts w:ascii="標楷體" w:eastAsia="標楷體" w:hAnsi="標楷體" w:hint="eastAsia"/>
          <w:sz w:val="24"/>
          <w:szCs w:val="24"/>
          <w:highlight w:val="yellow"/>
          <w:lang w:eastAsia="zh-TW"/>
        </w:rPr>
        <w:t>受補助人若於補助期間或一年內發表論文屬該次受補助案之研究成果、或與其相關，須於註腳加註</w:t>
      </w:r>
      <w:r>
        <w:rPr>
          <w:rFonts w:ascii="標楷體" w:eastAsia="標楷體" w:hAnsi="標楷體" w:hint="eastAsia"/>
          <w:sz w:val="24"/>
          <w:szCs w:val="24"/>
          <w:highlight w:val="yellow"/>
          <w:lang w:eastAsia="zh-TW"/>
        </w:rPr>
        <w:t>受本中心補助。</w:t>
      </w:r>
      <w:bookmarkStart w:id="0" w:name="_GoBack"/>
      <w:bookmarkEnd w:id="0"/>
    </w:p>
    <w:p w:rsidR="006C148B" w:rsidRPr="0057336F" w:rsidRDefault="006C148B" w:rsidP="006C148B">
      <w:pPr>
        <w:pStyle w:val="a5"/>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標楷體" w:eastAsia="標楷體" w:hAnsi="標楷體" w:cs="細明體"/>
          <w:sz w:val="24"/>
          <w:szCs w:val="24"/>
          <w:lang w:eastAsia="zh-TW"/>
        </w:rPr>
      </w:pPr>
      <w:r w:rsidRPr="0057336F">
        <w:rPr>
          <w:rFonts w:ascii="標楷體" w:eastAsia="標楷體" w:hAnsi="標楷體" w:cs="細明體" w:hint="eastAsia"/>
          <w:sz w:val="24"/>
          <w:szCs w:val="24"/>
          <w:lang w:eastAsia="zh-TW"/>
        </w:rPr>
        <w:t>本辦法經本中心執行委員會議通過後</w:t>
      </w:r>
      <w:proofErr w:type="gramStart"/>
      <w:r w:rsidRPr="0057336F">
        <w:rPr>
          <w:rFonts w:ascii="標楷體" w:eastAsia="標楷體" w:hAnsi="標楷體" w:cs="細明體" w:hint="eastAsia"/>
          <w:sz w:val="24"/>
          <w:szCs w:val="24"/>
          <w:lang w:eastAsia="zh-TW"/>
        </w:rPr>
        <w:t>後</w:t>
      </w:r>
      <w:proofErr w:type="gramEnd"/>
      <w:r w:rsidRPr="0057336F">
        <w:rPr>
          <w:rFonts w:ascii="標楷體" w:eastAsia="標楷體" w:hAnsi="標楷體" w:cs="細明體" w:hint="eastAsia"/>
          <w:sz w:val="24"/>
          <w:szCs w:val="24"/>
          <w:lang w:eastAsia="zh-TW"/>
        </w:rPr>
        <w:t>實施，修正時亦同。</w:t>
      </w:r>
    </w:p>
    <w:p w:rsidR="006C148B" w:rsidRPr="0057336F" w:rsidRDefault="006C148B" w:rsidP="006C148B">
      <w:pPr>
        <w:pStyle w:val="a5"/>
        <w:tabs>
          <w:tab w:val="left" w:pos="851"/>
        </w:tabs>
        <w:ind w:left="880" w:firstLine="0"/>
        <w:rPr>
          <w:rFonts w:ascii="標楷體" w:eastAsia="標楷體" w:hAnsi="標楷體"/>
          <w:sz w:val="24"/>
          <w:szCs w:val="24"/>
          <w:lang w:eastAsia="zh-TW"/>
        </w:rPr>
      </w:pPr>
    </w:p>
    <w:p w:rsidR="006C148B" w:rsidRPr="0057336F" w:rsidRDefault="006C148B" w:rsidP="006C148B">
      <w:pPr>
        <w:tabs>
          <w:tab w:val="left" w:pos="851"/>
        </w:tabs>
        <w:rPr>
          <w:rFonts w:ascii="標楷體" w:eastAsia="標楷體" w:hAnsi="標楷體"/>
          <w:sz w:val="24"/>
          <w:szCs w:val="24"/>
          <w:lang w:eastAsia="zh-TW"/>
        </w:rPr>
      </w:pPr>
    </w:p>
    <w:p w:rsidR="009C7FC4" w:rsidRPr="0057336F" w:rsidRDefault="009C7FC4">
      <w:pPr>
        <w:rPr>
          <w:rFonts w:ascii="標楷體" w:eastAsia="標楷體" w:hAnsi="標楷體"/>
          <w:lang w:eastAsia="zh-TW"/>
        </w:rPr>
      </w:pPr>
    </w:p>
    <w:sectPr w:rsidR="009C7FC4" w:rsidRPr="0057336F" w:rsidSect="00277E95">
      <w:pgSz w:w="11900" w:h="16850"/>
      <w:pgMar w:top="14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iauKai">
    <w:altName w:val="Microsoft JhengHei UI"/>
    <w:charset w:val="88"/>
    <w:family w:val="auto"/>
    <w:pitch w:val="variable"/>
    <w:sig w:usb0="00000000"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C5F"/>
    <w:multiLevelType w:val="hybridMultilevel"/>
    <w:tmpl w:val="1C843F4A"/>
    <w:lvl w:ilvl="0" w:tplc="A3125D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330A36"/>
    <w:multiLevelType w:val="hybridMultilevel"/>
    <w:tmpl w:val="C7165088"/>
    <w:lvl w:ilvl="0" w:tplc="707A92D2">
      <w:start w:val="1"/>
      <w:numFmt w:val="taiwaneseCountingThousand"/>
      <w:lvlText w:val="第%1條"/>
      <w:lvlJc w:val="left"/>
      <w:pPr>
        <w:ind w:left="880" w:hanging="880"/>
      </w:pPr>
      <w:rPr>
        <w:rFonts w:hint="default"/>
      </w:rPr>
    </w:lvl>
    <w:lvl w:ilvl="1" w:tplc="031C8090">
      <w:start w:val="1"/>
      <w:numFmt w:val="decimal"/>
      <w:lvlText w:val="%2."/>
      <w:lvlJc w:val="left"/>
      <w:pPr>
        <w:ind w:left="960" w:hanging="480"/>
      </w:pPr>
      <w:rPr>
        <w:rFonts w:ascii="BiauKai" w:eastAsia="BiauKai" w:hAnsi="BiauKai" w:cs="BiauKai" w:hint="default"/>
        <w:w w:val="147"/>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777795"/>
    <w:multiLevelType w:val="hybridMultilevel"/>
    <w:tmpl w:val="B0A8B56C"/>
    <w:lvl w:ilvl="0" w:tplc="A3125D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D04F77"/>
    <w:multiLevelType w:val="hybridMultilevel"/>
    <w:tmpl w:val="98C07058"/>
    <w:lvl w:ilvl="0" w:tplc="A3125D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802523"/>
    <w:multiLevelType w:val="hybridMultilevel"/>
    <w:tmpl w:val="B09246AA"/>
    <w:lvl w:ilvl="0" w:tplc="55AC255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390AF1"/>
    <w:multiLevelType w:val="hybridMultilevel"/>
    <w:tmpl w:val="F7C62294"/>
    <w:lvl w:ilvl="0" w:tplc="031C8090">
      <w:start w:val="1"/>
      <w:numFmt w:val="decimal"/>
      <w:lvlText w:val="%1."/>
      <w:lvlJc w:val="left"/>
      <w:pPr>
        <w:ind w:left="1240" w:hanging="360"/>
      </w:pPr>
      <w:rPr>
        <w:rFonts w:ascii="BiauKai" w:eastAsia="BiauKai" w:hAnsi="BiauKai" w:cs="BiauKai" w:hint="default"/>
        <w:w w:val="147"/>
        <w:sz w:val="24"/>
        <w:szCs w:val="24"/>
      </w:rPr>
    </w:lvl>
    <w:lvl w:ilvl="1" w:tplc="9DD23002">
      <w:numFmt w:val="bullet"/>
      <w:lvlText w:val="•"/>
      <w:lvlJc w:val="left"/>
      <w:pPr>
        <w:ind w:left="1969" w:hanging="360"/>
      </w:pPr>
      <w:rPr>
        <w:rFonts w:hint="default"/>
      </w:rPr>
    </w:lvl>
    <w:lvl w:ilvl="2" w:tplc="3D1CBB7A">
      <w:numFmt w:val="bullet"/>
      <w:lvlText w:val="•"/>
      <w:lvlJc w:val="left"/>
      <w:pPr>
        <w:ind w:left="2699" w:hanging="360"/>
      </w:pPr>
      <w:rPr>
        <w:rFonts w:hint="default"/>
      </w:rPr>
    </w:lvl>
    <w:lvl w:ilvl="3" w:tplc="A8DEF1E4">
      <w:numFmt w:val="bullet"/>
      <w:lvlText w:val="•"/>
      <w:lvlJc w:val="left"/>
      <w:pPr>
        <w:ind w:left="3429" w:hanging="360"/>
      </w:pPr>
      <w:rPr>
        <w:rFonts w:hint="default"/>
      </w:rPr>
    </w:lvl>
    <w:lvl w:ilvl="4" w:tplc="6BB09D46">
      <w:numFmt w:val="bullet"/>
      <w:lvlText w:val="•"/>
      <w:lvlJc w:val="left"/>
      <w:pPr>
        <w:ind w:left="4159" w:hanging="360"/>
      </w:pPr>
      <w:rPr>
        <w:rFonts w:hint="default"/>
      </w:rPr>
    </w:lvl>
    <w:lvl w:ilvl="5" w:tplc="F5008142">
      <w:numFmt w:val="bullet"/>
      <w:lvlText w:val="•"/>
      <w:lvlJc w:val="left"/>
      <w:pPr>
        <w:ind w:left="4889" w:hanging="360"/>
      </w:pPr>
      <w:rPr>
        <w:rFonts w:hint="default"/>
      </w:rPr>
    </w:lvl>
    <w:lvl w:ilvl="6" w:tplc="233AD596">
      <w:numFmt w:val="bullet"/>
      <w:lvlText w:val="•"/>
      <w:lvlJc w:val="left"/>
      <w:pPr>
        <w:ind w:left="5619" w:hanging="360"/>
      </w:pPr>
      <w:rPr>
        <w:rFonts w:hint="default"/>
      </w:rPr>
    </w:lvl>
    <w:lvl w:ilvl="7" w:tplc="85F20EF6">
      <w:numFmt w:val="bullet"/>
      <w:lvlText w:val="•"/>
      <w:lvlJc w:val="left"/>
      <w:pPr>
        <w:ind w:left="6349" w:hanging="360"/>
      </w:pPr>
      <w:rPr>
        <w:rFonts w:hint="default"/>
      </w:rPr>
    </w:lvl>
    <w:lvl w:ilvl="8" w:tplc="43465B2A">
      <w:numFmt w:val="bullet"/>
      <w:lvlText w:val="•"/>
      <w:lvlJc w:val="left"/>
      <w:pPr>
        <w:ind w:left="7079" w:hanging="360"/>
      </w:pPr>
      <w:rPr>
        <w:rFonts w:hint="default"/>
      </w:rPr>
    </w:lvl>
  </w:abstractNum>
  <w:abstractNum w:abstractNumId="6" w15:restartNumberingAfterBreak="0">
    <w:nsid w:val="59E03D9C"/>
    <w:multiLevelType w:val="hybridMultilevel"/>
    <w:tmpl w:val="7170496A"/>
    <w:lvl w:ilvl="0" w:tplc="E8E66A1E">
      <w:start w:val="1"/>
      <w:numFmt w:val="decimal"/>
      <w:lvlText w:val="%1."/>
      <w:lvlJc w:val="left"/>
      <w:pPr>
        <w:ind w:left="1240" w:hanging="360"/>
      </w:pPr>
      <w:rPr>
        <w:rFonts w:ascii="BiauKai" w:eastAsia="BiauKai" w:hAnsi="BiauKai" w:cs="BiauKai" w:hint="default"/>
        <w:w w:val="147"/>
        <w:sz w:val="24"/>
        <w:szCs w:val="24"/>
      </w:rPr>
    </w:lvl>
    <w:lvl w:ilvl="1" w:tplc="599C0C2E">
      <w:numFmt w:val="bullet"/>
      <w:lvlText w:val="•"/>
      <w:lvlJc w:val="left"/>
      <w:pPr>
        <w:ind w:left="1969" w:hanging="360"/>
      </w:pPr>
      <w:rPr>
        <w:rFonts w:hint="default"/>
      </w:rPr>
    </w:lvl>
    <w:lvl w:ilvl="2" w:tplc="880A6472">
      <w:numFmt w:val="bullet"/>
      <w:lvlText w:val="•"/>
      <w:lvlJc w:val="left"/>
      <w:pPr>
        <w:ind w:left="2699" w:hanging="360"/>
      </w:pPr>
      <w:rPr>
        <w:rFonts w:hint="default"/>
      </w:rPr>
    </w:lvl>
    <w:lvl w:ilvl="3" w:tplc="C23898AA">
      <w:numFmt w:val="bullet"/>
      <w:lvlText w:val="•"/>
      <w:lvlJc w:val="left"/>
      <w:pPr>
        <w:ind w:left="3429" w:hanging="360"/>
      </w:pPr>
      <w:rPr>
        <w:rFonts w:hint="default"/>
      </w:rPr>
    </w:lvl>
    <w:lvl w:ilvl="4" w:tplc="22BA7CA0">
      <w:numFmt w:val="bullet"/>
      <w:lvlText w:val="•"/>
      <w:lvlJc w:val="left"/>
      <w:pPr>
        <w:ind w:left="4159" w:hanging="360"/>
      </w:pPr>
      <w:rPr>
        <w:rFonts w:hint="default"/>
      </w:rPr>
    </w:lvl>
    <w:lvl w:ilvl="5" w:tplc="71AC5CD8">
      <w:numFmt w:val="bullet"/>
      <w:lvlText w:val="•"/>
      <w:lvlJc w:val="left"/>
      <w:pPr>
        <w:ind w:left="4889" w:hanging="360"/>
      </w:pPr>
      <w:rPr>
        <w:rFonts w:hint="default"/>
      </w:rPr>
    </w:lvl>
    <w:lvl w:ilvl="6" w:tplc="36BAE0BC">
      <w:numFmt w:val="bullet"/>
      <w:lvlText w:val="•"/>
      <w:lvlJc w:val="left"/>
      <w:pPr>
        <w:ind w:left="5619" w:hanging="360"/>
      </w:pPr>
      <w:rPr>
        <w:rFonts w:hint="default"/>
      </w:rPr>
    </w:lvl>
    <w:lvl w:ilvl="7" w:tplc="2242B0B6">
      <w:numFmt w:val="bullet"/>
      <w:lvlText w:val="•"/>
      <w:lvlJc w:val="left"/>
      <w:pPr>
        <w:ind w:left="6349" w:hanging="360"/>
      </w:pPr>
      <w:rPr>
        <w:rFonts w:hint="default"/>
      </w:rPr>
    </w:lvl>
    <w:lvl w:ilvl="8" w:tplc="CEEA8BCE">
      <w:numFmt w:val="bullet"/>
      <w:lvlText w:val="•"/>
      <w:lvlJc w:val="left"/>
      <w:pPr>
        <w:ind w:left="7079" w:hanging="360"/>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8B"/>
    <w:rsid w:val="00545697"/>
    <w:rsid w:val="0057336F"/>
    <w:rsid w:val="006C148B"/>
    <w:rsid w:val="009C7FC4"/>
    <w:rsid w:val="00A41A50"/>
    <w:rsid w:val="00E633AC"/>
    <w:rsid w:val="00FD1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8AB8"/>
  <w15:chartTrackingRefBased/>
  <w15:docId w15:val="{4070D472-24C3-EC48-8215-26620258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48B"/>
    <w:pPr>
      <w:widowControl w:val="0"/>
      <w:autoSpaceDE w:val="0"/>
      <w:autoSpaceDN w:val="0"/>
    </w:pPr>
    <w:rPr>
      <w:rFonts w:ascii="BiauKai" w:eastAsia="BiauKai" w:hAnsi="BiauKai" w:cs="BiauKai"/>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C148B"/>
    <w:pPr>
      <w:ind w:left="940" w:hanging="821"/>
    </w:pPr>
    <w:rPr>
      <w:sz w:val="24"/>
      <w:szCs w:val="24"/>
    </w:rPr>
  </w:style>
  <w:style w:type="character" w:customStyle="1" w:styleId="a4">
    <w:name w:val="本文 字元"/>
    <w:basedOn w:val="a0"/>
    <w:link w:val="a3"/>
    <w:uiPriority w:val="1"/>
    <w:rsid w:val="006C148B"/>
    <w:rPr>
      <w:rFonts w:ascii="BiauKai" w:eastAsia="BiauKai" w:hAnsi="BiauKai" w:cs="BiauKai"/>
      <w:kern w:val="0"/>
      <w:lang w:eastAsia="en-US"/>
    </w:rPr>
  </w:style>
  <w:style w:type="paragraph" w:styleId="a5">
    <w:name w:val="List Paragraph"/>
    <w:basedOn w:val="a"/>
    <w:uiPriority w:val="34"/>
    <w:qFormat/>
    <w:rsid w:val="006C148B"/>
    <w:pPr>
      <w:spacing w:before="101"/>
      <w:ind w:left="1300" w:hanging="360"/>
    </w:pPr>
  </w:style>
  <w:style w:type="paragraph" w:styleId="HTML">
    <w:name w:val="HTML Preformatted"/>
    <w:basedOn w:val="a"/>
    <w:link w:val="HTML0"/>
    <w:uiPriority w:val="99"/>
    <w:semiHidden/>
    <w:unhideWhenUsed/>
    <w:rsid w:val="006C148B"/>
    <w:rPr>
      <w:rFonts w:ascii="Courier New" w:hAnsi="Courier New" w:cs="Courier New"/>
      <w:sz w:val="20"/>
      <w:szCs w:val="20"/>
    </w:rPr>
  </w:style>
  <w:style w:type="character" w:customStyle="1" w:styleId="HTML0">
    <w:name w:val="HTML 預設格式 字元"/>
    <w:basedOn w:val="a0"/>
    <w:link w:val="HTML"/>
    <w:uiPriority w:val="99"/>
    <w:semiHidden/>
    <w:rsid w:val="006C148B"/>
    <w:rPr>
      <w:rFonts w:ascii="Courier New" w:eastAsia="BiauKai" w:hAnsi="Courier New" w:cs="Courier New"/>
      <w:kern w:val="0"/>
      <w:sz w:val="20"/>
      <w:szCs w:val="20"/>
      <w:lang w:eastAsia="en-US"/>
    </w:rPr>
  </w:style>
  <w:style w:type="paragraph" w:styleId="Web">
    <w:name w:val="Normal (Web)"/>
    <w:basedOn w:val="a"/>
    <w:uiPriority w:val="99"/>
    <w:semiHidden/>
    <w:unhideWhenUsed/>
    <w:rsid w:val="00FD14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32004">
      <w:bodyDiv w:val="1"/>
      <w:marLeft w:val="0"/>
      <w:marRight w:val="0"/>
      <w:marTop w:val="0"/>
      <w:marBottom w:val="0"/>
      <w:divBdr>
        <w:top w:val="none" w:sz="0" w:space="0" w:color="auto"/>
        <w:left w:val="none" w:sz="0" w:space="0" w:color="auto"/>
        <w:bottom w:val="none" w:sz="0" w:space="0" w:color="auto"/>
        <w:right w:val="none" w:sz="0" w:space="0" w:color="auto"/>
      </w:divBdr>
      <w:divsChild>
        <w:div w:id="46152302">
          <w:marLeft w:val="0"/>
          <w:marRight w:val="0"/>
          <w:marTop w:val="0"/>
          <w:marBottom w:val="0"/>
          <w:divBdr>
            <w:top w:val="none" w:sz="0" w:space="0" w:color="auto"/>
            <w:left w:val="none" w:sz="0" w:space="0" w:color="auto"/>
            <w:bottom w:val="none" w:sz="0" w:space="0" w:color="auto"/>
            <w:right w:val="none" w:sz="0" w:space="0" w:color="auto"/>
          </w:divBdr>
          <w:divsChild>
            <w:div w:id="1683818360">
              <w:marLeft w:val="0"/>
              <w:marRight w:val="0"/>
              <w:marTop w:val="0"/>
              <w:marBottom w:val="0"/>
              <w:divBdr>
                <w:top w:val="none" w:sz="0" w:space="0" w:color="auto"/>
                <w:left w:val="none" w:sz="0" w:space="0" w:color="auto"/>
                <w:bottom w:val="none" w:sz="0" w:space="0" w:color="auto"/>
                <w:right w:val="none" w:sz="0" w:space="0" w:color="auto"/>
              </w:divBdr>
              <w:divsChild>
                <w:div w:id="7662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99877">
      <w:bodyDiv w:val="1"/>
      <w:marLeft w:val="0"/>
      <w:marRight w:val="0"/>
      <w:marTop w:val="0"/>
      <w:marBottom w:val="0"/>
      <w:divBdr>
        <w:top w:val="none" w:sz="0" w:space="0" w:color="auto"/>
        <w:left w:val="none" w:sz="0" w:space="0" w:color="auto"/>
        <w:bottom w:val="none" w:sz="0" w:space="0" w:color="auto"/>
        <w:right w:val="none" w:sz="0" w:space="0" w:color="auto"/>
      </w:divBdr>
      <w:divsChild>
        <w:div w:id="400449100">
          <w:marLeft w:val="0"/>
          <w:marRight w:val="0"/>
          <w:marTop w:val="0"/>
          <w:marBottom w:val="0"/>
          <w:divBdr>
            <w:top w:val="none" w:sz="0" w:space="0" w:color="auto"/>
            <w:left w:val="none" w:sz="0" w:space="0" w:color="auto"/>
            <w:bottom w:val="none" w:sz="0" w:space="0" w:color="auto"/>
            <w:right w:val="none" w:sz="0" w:space="0" w:color="auto"/>
          </w:divBdr>
          <w:divsChild>
            <w:div w:id="1507748999">
              <w:marLeft w:val="0"/>
              <w:marRight w:val="0"/>
              <w:marTop w:val="0"/>
              <w:marBottom w:val="0"/>
              <w:divBdr>
                <w:top w:val="none" w:sz="0" w:space="0" w:color="auto"/>
                <w:left w:val="none" w:sz="0" w:space="0" w:color="auto"/>
                <w:bottom w:val="none" w:sz="0" w:space="0" w:color="auto"/>
                <w:right w:val="none" w:sz="0" w:space="0" w:color="auto"/>
              </w:divBdr>
              <w:divsChild>
                <w:div w:id="11485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1574">
      <w:bodyDiv w:val="1"/>
      <w:marLeft w:val="0"/>
      <w:marRight w:val="0"/>
      <w:marTop w:val="0"/>
      <w:marBottom w:val="0"/>
      <w:divBdr>
        <w:top w:val="none" w:sz="0" w:space="0" w:color="auto"/>
        <w:left w:val="none" w:sz="0" w:space="0" w:color="auto"/>
        <w:bottom w:val="none" w:sz="0" w:space="0" w:color="auto"/>
        <w:right w:val="none" w:sz="0" w:space="0" w:color="auto"/>
      </w:divBdr>
      <w:divsChild>
        <w:div w:id="2004703500">
          <w:marLeft w:val="0"/>
          <w:marRight w:val="0"/>
          <w:marTop w:val="0"/>
          <w:marBottom w:val="0"/>
          <w:divBdr>
            <w:top w:val="none" w:sz="0" w:space="0" w:color="auto"/>
            <w:left w:val="none" w:sz="0" w:space="0" w:color="auto"/>
            <w:bottom w:val="none" w:sz="0" w:space="0" w:color="auto"/>
            <w:right w:val="none" w:sz="0" w:space="0" w:color="auto"/>
          </w:divBdr>
          <w:divsChild>
            <w:div w:id="156002027">
              <w:marLeft w:val="0"/>
              <w:marRight w:val="0"/>
              <w:marTop w:val="0"/>
              <w:marBottom w:val="0"/>
              <w:divBdr>
                <w:top w:val="none" w:sz="0" w:space="0" w:color="auto"/>
                <w:left w:val="none" w:sz="0" w:space="0" w:color="auto"/>
                <w:bottom w:val="none" w:sz="0" w:space="0" w:color="auto"/>
                <w:right w:val="none" w:sz="0" w:space="0" w:color="auto"/>
              </w:divBdr>
              <w:divsChild>
                <w:div w:id="19687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9094">
      <w:bodyDiv w:val="1"/>
      <w:marLeft w:val="0"/>
      <w:marRight w:val="0"/>
      <w:marTop w:val="0"/>
      <w:marBottom w:val="0"/>
      <w:divBdr>
        <w:top w:val="none" w:sz="0" w:space="0" w:color="auto"/>
        <w:left w:val="none" w:sz="0" w:space="0" w:color="auto"/>
        <w:bottom w:val="none" w:sz="0" w:space="0" w:color="auto"/>
        <w:right w:val="none" w:sz="0" w:space="0" w:color="auto"/>
      </w:divBdr>
      <w:divsChild>
        <w:div w:id="1295914181">
          <w:marLeft w:val="0"/>
          <w:marRight w:val="0"/>
          <w:marTop w:val="0"/>
          <w:marBottom w:val="0"/>
          <w:divBdr>
            <w:top w:val="none" w:sz="0" w:space="0" w:color="auto"/>
            <w:left w:val="none" w:sz="0" w:space="0" w:color="auto"/>
            <w:bottom w:val="none" w:sz="0" w:space="0" w:color="auto"/>
            <w:right w:val="none" w:sz="0" w:space="0" w:color="auto"/>
          </w:divBdr>
          <w:divsChild>
            <w:div w:id="973682524">
              <w:marLeft w:val="0"/>
              <w:marRight w:val="0"/>
              <w:marTop w:val="0"/>
              <w:marBottom w:val="0"/>
              <w:divBdr>
                <w:top w:val="none" w:sz="0" w:space="0" w:color="auto"/>
                <w:left w:val="none" w:sz="0" w:space="0" w:color="auto"/>
                <w:bottom w:val="none" w:sz="0" w:space="0" w:color="auto"/>
                <w:right w:val="none" w:sz="0" w:space="0" w:color="auto"/>
              </w:divBdr>
              <w:divsChild>
                <w:div w:id="8087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515">
      <w:bodyDiv w:val="1"/>
      <w:marLeft w:val="0"/>
      <w:marRight w:val="0"/>
      <w:marTop w:val="0"/>
      <w:marBottom w:val="0"/>
      <w:divBdr>
        <w:top w:val="none" w:sz="0" w:space="0" w:color="auto"/>
        <w:left w:val="none" w:sz="0" w:space="0" w:color="auto"/>
        <w:bottom w:val="none" w:sz="0" w:space="0" w:color="auto"/>
        <w:right w:val="none" w:sz="0" w:space="0" w:color="auto"/>
      </w:divBdr>
      <w:divsChild>
        <w:div w:id="2072189636">
          <w:marLeft w:val="0"/>
          <w:marRight w:val="0"/>
          <w:marTop w:val="0"/>
          <w:marBottom w:val="0"/>
          <w:divBdr>
            <w:top w:val="none" w:sz="0" w:space="0" w:color="auto"/>
            <w:left w:val="none" w:sz="0" w:space="0" w:color="auto"/>
            <w:bottom w:val="none" w:sz="0" w:space="0" w:color="auto"/>
            <w:right w:val="none" w:sz="0" w:space="0" w:color="auto"/>
          </w:divBdr>
          <w:divsChild>
            <w:div w:id="1752190070">
              <w:marLeft w:val="0"/>
              <w:marRight w:val="0"/>
              <w:marTop w:val="0"/>
              <w:marBottom w:val="0"/>
              <w:divBdr>
                <w:top w:val="none" w:sz="0" w:space="0" w:color="auto"/>
                <w:left w:val="none" w:sz="0" w:space="0" w:color="auto"/>
                <w:bottom w:val="none" w:sz="0" w:space="0" w:color="auto"/>
                <w:right w:val="none" w:sz="0" w:space="0" w:color="auto"/>
              </w:divBdr>
              <w:divsChild>
                <w:div w:id="676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346</Words>
  <Characters>520</Characters>
  <Application>Microsoft Office Word</Application>
  <DocSecurity>0</DocSecurity>
  <Lines>47</Lines>
  <Paragraphs>54</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dcterms:created xsi:type="dcterms:W3CDTF">2019-08-07T20:59:00Z</dcterms:created>
  <dcterms:modified xsi:type="dcterms:W3CDTF">2019-09-10T15:48:00Z</dcterms:modified>
</cp:coreProperties>
</file>